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D6E3B6">
      <w:pPr>
        <w:jc w:val="center"/>
        <w:rPr>
          <w:rFonts w:hint="eastAsia"/>
          <w:b/>
          <w:sz w:val="28"/>
          <w:szCs w:val="28"/>
        </w:rPr>
      </w:pPr>
      <w:r>
        <w:rPr>
          <w:rFonts w:hint="eastAsia"/>
          <w:b/>
          <w:sz w:val="28"/>
          <w:szCs w:val="28"/>
        </w:rPr>
        <w:t>天津渤化化工发展有限公司</w:t>
      </w:r>
    </w:p>
    <w:p w14:paraId="66F19CCD">
      <w:pPr>
        <w:jc w:val="center"/>
        <w:rPr>
          <w:rFonts w:hint="eastAsia"/>
          <w:b/>
          <w:sz w:val="28"/>
          <w:szCs w:val="28"/>
        </w:rPr>
      </w:pPr>
      <w:r>
        <w:rPr>
          <w:rFonts w:hint="eastAsia"/>
          <w:b/>
          <w:sz w:val="28"/>
          <w:szCs w:val="28"/>
        </w:rPr>
        <w:t>2024-08-23电仪中心</w:t>
      </w:r>
      <w:r>
        <w:rPr>
          <w:rFonts w:hint="eastAsia"/>
          <w:b/>
          <w:sz w:val="28"/>
          <w:szCs w:val="28"/>
          <w:lang w:val="en-US" w:eastAsia="zh-CN"/>
        </w:rPr>
        <w:t>索克曼</w:t>
      </w:r>
      <w:r>
        <w:rPr>
          <w:rFonts w:hint="eastAsia"/>
          <w:b/>
          <w:sz w:val="28"/>
          <w:szCs w:val="28"/>
        </w:rPr>
        <w:t>STS静态转换开关采购项目</w:t>
      </w:r>
    </w:p>
    <w:p w14:paraId="0BD195F5">
      <w:pPr>
        <w:jc w:val="center"/>
        <w:rPr>
          <w:rFonts w:hint="eastAsia"/>
          <w:b/>
          <w:sz w:val="28"/>
          <w:szCs w:val="28"/>
        </w:rPr>
      </w:pPr>
      <w:r>
        <w:rPr>
          <w:rFonts w:hint="eastAsia"/>
          <w:b/>
          <w:sz w:val="28"/>
          <w:szCs w:val="28"/>
        </w:rPr>
        <w:t>报价要求</w:t>
      </w:r>
    </w:p>
    <w:p w14:paraId="14472CBF">
      <w:pPr>
        <w:jc w:val="both"/>
        <w:rPr>
          <w:rFonts w:hint="eastAsia"/>
          <w:b/>
          <w:sz w:val="28"/>
          <w:szCs w:val="28"/>
        </w:rPr>
      </w:pPr>
      <w:r>
        <w:rPr>
          <w:rFonts w:hint="eastAsia"/>
          <w:b/>
          <w:sz w:val="28"/>
          <w:szCs w:val="28"/>
        </w:rPr>
        <w:t>供货范围</w:t>
      </w:r>
    </w:p>
    <w:tbl>
      <w:tblPr>
        <w:tblW w:w="908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1080"/>
        <w:gridCol w:w="1656"/>
        <w:gridCol w:w="3525"/>
        <w:gridCol w:w="1552"/>
        <w:gridCol w:w="1275"/>
      </w:tblGrid>
      <w:tr w14:paraId="07F8B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2CDAB5">
            <w:pPr>
              <w:keepNext w:val="0"/>
              <w:keepLines w:val="0"/>
              <w:widowControl/>
              <w:suppressLineNumbers w:val="0"/>
              <w:jc w:val="center"/>
              <w:textAlignment w:val="center"/>
              <w:rPr>
                <w:rFonts w:hint="eastAsia" w:ascii="宋体" w:hAnsi="宋体" w:eastAsia="宋体" w:cs="宋体"/>
                <w:b/>
                <w:bCs/>
                <w:i w:val="0"/>
                <w:iCs w:val="0"/>
                <w:color w:val="333333"/>
                <w:sz w:val="26"/>
                <w:szCs w:val="26"/>
                <w:u w:val="none"/>
              </w:rPr>
            </w:pPr>
            <w:r>
              <w:rPr>
                <w:rFonts w:hint="eastAsia" w:ascii="宋体" w:hAnsi="宋体" w:eastAsia="宋体" w:cs="宋体"/>
                <w:b/>
                <w:bCs/>
                <w:i w:val="0"/>
                <w:iCs w:val="0"/>
                <w:color w:val="333333"/>
                <w:kern w:val="0"/>
                <w:sz w:val="26"/>
                <w:szCs w:val="26"/>
                <w:u w:val="none"/>
                <w:bdr w:val="none" w:color="auto" w:sz="0" w:space="0"/>
                <w:lang w:val="en-US" w:eastAsia="zh-CN" w:bidi="ar"/>
              </w:rPr>
              <w:t>序号</w:t>
            </w:r>
          </w:p>
        </w:tc>
        <w:tc>
          <w:tcPr>
            <w:tcW w:w="16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566784">
            <w:pPr>
              <w:keepNext w:val="0"/>
              <w:keepLines w:val="0"/>
              <w:widowControl/>
              <w:suppressLineNumbers w:val="0"/>
              <w:jc w:val="center"/>
              <w:textAlignment w:val="center"/>
              <w:rPr>
                <w:rFonts w:hint="eastAsia" w:ascii="宋体" w:hAnsi="宋体" w:eastAsia="宋体" w:cs="宋体"/>
                <w:b/>
                <w:bCs/>
                <w:i w:val="0"/>
                <w:iCs w:val="0"/>
                <w:color w:val="333333"/>
                <w:sz w:val="26"/>
                <w:szCs w:val="26"/>
                <w:u w:val="none"/>
              </w:rPr>
            </w:pPr>
            <w:r>
              <w:rPr>
                <w:rFonts w:hint="eastAsia" w:ascii="宋体" w:hAnsi="宋体" w:eastAsia="宋体" w:cs="宋体"/>
                <w:b/>
                <w:bCs/>
                <w:i w:val="0"/>
                <w:iCs w:val="0"/>
                <w:color w:val="333333"/>
                <w:kern w:val="0"/>
                <w:sz w:val="26"/>
                <w:szCs w:val="26"/>
                <w:u w:val="none"/>
                <w:bdr w:val="none" w:color="auto" w:sz="0" w:space="0"/>
                <w:lang w:val="en-US" w:eastAsia="zh-CN" w:bidi="ar"/>
              </w:rPr>
              <w:t>物料名称</w:t>
            </w:r>
          </w:p>
        </w:tc>
        <w:tc>
          <w:tcPr>
            <w:tcW w:w="3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FDD185">
            <w:pPr>
              <w:keepNext w:val="0"/>
              <w:keepLines w:val="0"/>
              <w:widowControl/>
              <w:suppressLineNumbers w:val="0"/>
              <w:jc w:val="center"/>
              <w:textAlignment w:val="center"/>
              <w:rPr>
                <w:rFonts w:hint="eastAsia" w:ascii="宋体" w:hAnsi="宋体" w:eastAsia="宋体" w:cs="宋体"/>
                <w:b/>
                <w:bCs/>
                <w:i w:val="0"/>
                <w:iCs w:val="0"/>
                <w:color w:val="333333"/>
                <w:sz w:val="26"/>
                <w:szCs w:val="26"/>
                <w:u w:val="none"/>
              </w:rPr>
            </w:pPr>
            <w:r>
              <w:rPr>
                <w:rFonts w:hint="eastAsia" w:ascii="宋体" w:hAnsi="宋体" w:eastAsia="宋体" w:cs="宋体"/>
                <w:b/>
                <w:bCs/>
                <w:i w:val="0"/>
                <w:iCs w:val="0"/>
                <w:color w:val="333333"/>
                <w:kern w:val="0"/>
                <w:sz w:val="26"/>
                <w:szCs w:val="26"/>
                <w:u w:val="none"/>
                <w:bdr w:val="none" w:color="auto" w:sz="0" w:space="0"/>
                <w:lang w:val="en-US" w:eastAsia="zh-CN" w:bidi="ar"/>
              </w:rPr>
              <w:t>物料规格</w:t>
            </w:r>
          </w:p>
        </w:tc>
        <w:tc>
          <w:tcPr>
            <w:tcW w:w="15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17B664">
            <w:pPr>
              <w:keepNext w:val="0"/>
              <w:keepLines w:val="0"/>
              <w:widowControl/>
              <w:suppressLineNumbers w:val="0"/>
              <w:jc w:val="center"/>
              <w:textAlignment w:val="center"/>
              <w:rPr>
                <w:rFonts w:hint="eastAsia" w:ascii="宋体" w:hAnsi="宋体" w:eastAsia="宋体" w:cs="宋体"/>
                <w:b/>
                <w:bCs/>
                <w:i w:val="0"/>
                <w:iCs w:val="0"/>
                <w:color w:val="333333"/>
                <w:sz w:val="26"/>
                <w:szCs w:val="26"/>
                <w:u w:val="none"/>
              </w:rPr>
            </w:pPr>
            <w:r>
              <w:rPr>
                <w:rFonts w:hint="eastAsia" w:ascii="宋体" w:hAnsi="宋体" w:eastAsia="宋体" w:cs="宋体"/>
                <w:b/>
                <w:bCs/>
                <w:i w:val="0"/>
                <w:iCs w:val="0"/>
                <w:color w:val="333333"/>
                <w:kern w:val="0"/>
                <w:sz w:val="26"/>
                <w:szCs w:val="26"/>
                <w:u w:val="none"/>
                <w:bdr w:val="none" w:color="auto" w:sz="0" w:space="0"/>
                <w:lang w:val="en-US" w:eastAsia="zh-CN" w:bidi="ar"/>
              </w:rPr>
              <w:t>数量</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9D76C">
            <w:pPr>
              <w:keepNext w:val="0"/>
              <w:keepLines w:val="0"/>
              <w:widowControl/>
              <w:suppressLineNumbers w:val="0"/>
              <w:jc w:val="center"/>
              <w:textAlignment w:val="center"/>
              <w:rPr>
                <w:rFonts w:hint="eastAsia" w:ascii="宋体" w:hAnsi="宋体" w:eastAsia="宋体" w:cs="宋体"/>
                <w:b/>
                <w:bCs/>
                <w:i w:val="0"/>
                <w:iCs w:val="0"/>
                <w:color w:val="333333"/>
                <w:sz w:val="26"/>
                <w:szCs w:val="26"/>
                <w:u w:val="none"/>
              </w:rPr>
            </w:pPr>
            <w:r>
              <w:rPr>
                <w:rFonts w:hint="eastAsia" w:ascii="宋体" w:hAnsi="宋体" w:eastAsia="宋体" w:cs="宋体"/>
                <w:b/>
                <w:bCs/>
                <w:i w:val="0"/>
                <w:iCs w:val="0"/>
                <w:color w:val="333333"/>
                <w:kern w:val="0"/>
                <w:sz w:val="26"/>
                <w:szCs w:val="26"/>
                <w:u w:val="none"/>
                <w:bdr w:val="none" w:color="auto" w:sz="0" w:space="0"/>
                <w:lang w:val="en-US" w:eastAsia="zh-CN" w:bidi="ar"/>
              </w:rPr>
              <w:t>单位</w:t>
            </w:r>
          </w:p>
        </w:tc>
      </w:tr>
      <w:tr w14:paraId="1D60E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9B6C47">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bdr w:val="none" w:color="auto" w:sz="0" w:space="0"/>
                <w:lang w:val="en-US" w:eastAsia="zh-CN" w:bidi="ar"/>
              </w:rPr>
              <w:t>1</w:t>
            </w:r>
          </w:p>
        </w:tc>
        <w:tc>
          <w:tcPr>
            <w:tcW w:w="165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614288">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bdr w:val="none" w:color="auto" w:sz="0" w:space="0"/>
                <w:lang w:val="en-US" w:eastAsia="zh-CN" w:bidi="ar"/>
              </w:rPr>
              <w:t>295108000191</w:t>
            </w:r>
            <w:r>
              <w:rPr>
                <w:rFonts w:hint="eastAsia" w:ascii="宋体" w:hAnsi="宋体" w:eastAsia="宋体" w:cs="宋体"/>
                <w:i w:val="0"/>
                <w:iCs w:val="0"/>
                <w:color w:val="333333"/>
                <w:kern w:val="0"/>
                <w:sz w:val="24"/>
                <w:szCs w:val="24"/>
                <w:u w:val="none"/>
                <w:bdr w:val="none" w:color="auto" w:sz="0" w:space="0"/>
                <w:lang w:val="en-US" w:eastAsia="zh-CN" w:bidi="ar"/>
              </w:rPr>
              <w:br w:type="textWrapping"/>
            </w:r>
            <w:r>
              <w:rPr>
                <w:rFonts w:hint="eastAsia" w:ascii="宋体" w:hAnsi="宋体" w:eastAsia="宋体" w:cs="宋体"/>
                <w:i w:val="0"/>
                <w:iCs w:val="0"/>
                <w:color w:val="333333"/>
                <w:kern w:val="0"/>
                <w:sz w:val="24"/>
                <w:szCs w:val="24"/>
                <w:u w:val="none"/>
                <w:bdr w:val="none" w:color="auto" w:sz="0" w:space="0"/>
                <w:lang w:val="en-US" w:eastAsia="zh-CN" w:bidi="ar"/>
              </w:rPr>
              <w:t>STS静态转换开关</w:t>
            </w:r>
          </w:p>
        </w:tc>
        <w:tc>
          <w:tcPr>
            <w:tcW w:w="35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321E73">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bdr w:val="none" w:color="auto" w:sz="0" w:space="0"/>
                <w:lang w:val="en-US" w:eastAsia="zh-CN" w:bidi="ar"/>
              </w:rPr>
              <w:t>LSTS-63A/2P 200-250V</w:t>
            </w:r>
          </w:p>
        </w:tc>
        <w:tc>
          <w:tcPr>
            <w:tcW w:w="15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7A5538">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bdr w:val="none" w:color="auto" w:sz="0" w:space="0"/>
                <w:lang w:val="en-US" w:eastAsia="zh-CN" w:bidi="ar"/>
              </w:rPr>
              <w:t xml:space="preserve">2 </w:t>
            </w:r>
          </w:p>
        </w:tc>
        <w:tc>
          <w:tcPr>
            <w:tcW w:w="12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8D86BA">
            <w:pPr>
              <w:keepNext w:val="0"/>
              <w:keepLines w:val="0"/>
              <w:widowControl/>
              <w:suppressLineNumbers w:val="0"/>
              <w:jc w:val="center"/>
              <w:textAlignment w:val="center"/>
              <w:rPr>
                <w:rFonts w:hint="eastAsia" w:ascii="宋体" w:hAnsi="宋体" w:eastAsia="宋体" w:cs="宋体"/>
                <w:i w:val="0"/>
                <w:iCs w:val="0"/>
                <w:color w:val="333333"/>
                <w:sz w:val="24"/>
                <w:szCs w:val="24"/>
                <w:u w:val="none"/>
              </w:rPr>
            </w:pPr>
            <w:r>
              <w:rPr>
                <w:rFonts w:hint="eastAsia" w:ascii="宋体" w:hAnsi="宋体" w:eastAsia="宋体" w:cs="宋体"/>
                <w:i w:val="0"/>
                <w:iCs w:val="0"/>
                <w:color w:val="333333"/>
                <w:kern w:val="0"/>
                <w:sz w:val="24"/>
                <w:szCs w:val="24"/>
                <w:u w:val="none"/>
                <w:bdr w:val="none" w:color="auto" w:sz="0" w:space="0"/>
                <w:lang w:val="en-US" w:eastAsia="zh-CN" w:bidi="ar"/>
              </w:rPr>
              <w:t>个</w:t>
            </w:r>
          </w:p>
        </w:tc>
      </w:tr>
    </w:tbl>
    <w:p w14:paraId="216E59AA">
      <w:pPr>
        <w:pStyle w:val="2"/>
        <w:rPr>
          <w:rFonts w:hint="eastAsia"/>
        </w:rPr>
      </w:pPr>
    </w:p>
    <w:p w14:paraId="0AFD7EB1">
      <w:pPr>
        <w:rPr>
          <w:sz w:val="28"/>
          <w:szCs w:val="28"/>
        </w:rPr>
      </w:pPr>
      <w:r>
        <w:rPr>
          <w:rFonts w:hint="eastAsia"/>
          <w:sz w:val="28"/>
          <w:szCs w:val="28"/>
        </w:rPr>
        <w:t>交货地址：天津南港工业区创新路99号，天津渤化化工发展有限公司</w:t>
      </w:r>
    </w:p>
    <w:p w14:paraId="60F5D699">
      <w:pPr>
        <w:rPr>
          <w:sz w:val="28"/>
          <w:szCs w:val="28"/>
        </w:rPr>
      </w:pPr>
      <w:r>
        <w:rPr>
          <w:rFonts w:hint="eastAsia"/>
          <w:sz w:val="28"/>
          <w:szCs w:val="28"/>
        </w:rPr>
        <w:t>*交货期：中标后</w:t>
      </w:r>
      <w:r>
        <w:rPr>
          <w:rFonts w:hint="eastAsia"/>
          <w:sz w:val="28"/>
          <w:szCs w:val="28"/>
          <w:lang w:val="en-US" w:eastAsia="zh-CN"/>
        </w:rPr>
        <w:t>20</w:t>
      </w:r>
      <w:r>
        <w:rPr>
          <w:rFonts w:hint="eastAsia"/>
          <w:sz w:val="28"/>
          <w:szCs w:val="28"/>
        </w:rPr>
        <w:t>天。</w:t>
      </w:r>
    </w:p>
    <w:p w14:paraId="22CD811D">
      <w:pPr>
        <w:rPr>
          <w:sz w:val="28"/>
          <w:szCs w:val="28"/>
        </w:rPr>
      </w:pPr>
      <w:r>
        <w:rPr>
          <w:rFonts w:hint="eastAsia"/>
          <w:sz w:val="28"/>
          <w:szCs w:val="28"/>
        </w:rPr>
        <w:t>卖方供货范围和工作范围包括但不限于：所有材料的供货、包装运输、质保以及必要的随机工具等</w:t>
      </w:r>
      <w:r>
        <w:rPr>
          <w:rFonts w:hint="eastAsia"/>
          <w:color w:val="000000"/>
          <w:sz w:val="28"/>
          <w:szCs w:val="28"/>
        </w:rPr>
        <w:t>；</w:t>
      </w:r>
    </w:p>
    <w:p w14:paraId="3E148EAE">
      <w:pPr>
        <w:pStyle w:val="2"/>
      </w:pPr>
    </w:p>
    <w:p w14:paraId="0E7A2928">
      <w:pPr>
        <w:tabs>
          <w:tab w:val="left" w:pos="1965"/>
        </w:tabs>
        <w:rPr>
          <w:rFonts w:hint="eastAsia"/>
          <w:sz w:val="28"/>
          <w:szCs w:val="28"/>
        </w:rPr>
      </w:pPr>
      <w:r>
        <w:rPr>
          <w:rFonts w:hint="eastAsia"/>
          <w:sz w:val="28"/>
          <w:szCs w:val="28"/>
        </w:rPr>
        <w:t>设备一览表</w:t>
      </w:r>
    </w:p>
    <w:p w14:paraId="30F523FA">
      <w:pPr>
        <w:tabs>
          <w:tab w:val="left" w:pos="1965"/>
        </w:tabs>
        <w:rPr>
          <w:rFonts w:hint="eastAsia"/>
          <w:sz w:val="28"/>
          <w:szCs w:val="28"/>
        </w:rPr>
      </w:pPr>
      <w:r>
        <w:rPr>
          <w:rFonts w:hint="eastAsia"/>
          <w:sz w:val="28"/>
          <w:szCs w:val="28"/>
        </w:rPr>
        <w:t>随机资料：8份纸质版，2份电子版；</w:t>
      </w:r>
    </w:p>
    <w:p w14:paraId="11C09BC5">
      <w:pPr>
        <w:tabs>
          <w:tab w:val="left" w:pos="1965"/>
        </w:tabs>
        <w:rPr>
          <w:rFonts w:hint="eastAsia"/>
          <w:sz w:val="28"/>
          <w:szCs w:val="28"/>
        </w:rPr>
      </w:pPr>
      <w:r>
        <w:rPr>
          <w:rFonts w:hint="eastAsia"/>
          <w:sz w:val="28"/>
          <w:szCs w:val="28"/>
        </w:rPr>
        <w:t>2、提供的全部货物需采用相应国家或行业标准的保护措施进行包装，这种包装应适于长途内陆运输，并有良好的防潮、防野蛮装卸等保护措施，以确保货物安全运抵指定现场，卖方应承担由于运输过程中其包装或防护措施不妥而引起的货物损坏和丢失的责任或费用。</w:t>
      </w:r>
    </w:p>
    <w:p w14:paraId="022B6752">
      <w:pPr>
        <w:tabs>
          <w:tab w:val="left" w:pos="1965"/>
        </w:tabs>
        <w:rPr>
          <w:rFonts w:hint="eastAsia"/>
          <w:sz w:val="28"/>
          <w:szCs w:val="28"/>
        </w:rPr>
      </w:pPr>
      <w:r>
        <w:rPr>
          <w:rFonts w:hint="eastAsia"/>
          <w:sz w:val="28"/>
          <w:szCs w:val="28"/>
        </w:rPr>
        <w:t>3、包装材料费用已经包含在合同总价之中，包装材料无需回收。</w:t>
      </w:r>
    </w:p>
    <w:p w14:paraId="0810E950">
      <w:pPr>
        <w:tabs>
          <w:tab w:val="left" w:pos="1965"/>
        </w:tabs>
        <w:rPr>
          <w:rFonts w:hint="eastAsia"/>
          <w:sz w:val="28"/>
          <w:szCs w:val="28"/>
        </w:rPr>
      </w:pPr>
      <w:r>
        <w:rPr>
          <w:rFonts w:hint="eastAsia"/>
          <w:sz w:val="28"/>
          <w:szCs w:val="28"/>
        </w:rPr>
        <w:t>4、验收按照相应国家标准进行，若国家标准没有约定时，按照由买方确定</w:t>
      </w:r>
      <w:r>
        <w:rPr>
          <w:rFonts w:hint="eastAsia" w:ascii="Calibri" w:eastAsia="宋体"/>
          <w:sz w:val="28"/>
          <w:szCs w:val="28"/>
        </w:rPr>
        <w:t>的验收标准和验收方式进行。由于验收不合格导致的一切费用由卖方承担。</w:t>
      </w:r>
      <w:r>
        <w:rPr>
          <w:rFonts w:hint="eastAsia"/>
          <w:sz w:val="28"/>
          <w:szCs w:val="28"/>
        </w:rPr>
        <w:t>买方根据工作安排提前1天通知卖方来现场进行货物的开箱检验，卖方在接到通知后1天内未回复，则买方自行进行到货验收，卖方认可买方的验收结果</w:t>
      </w:r>
    </w:p>
    <w:p w14:paraId="545118B1">
      <w:pPr>
        <w:tabs>
          <w:tab w:val="left" w:pos="1965"/>
        </w:tabs>
        <w:rPr>
          <w:rFonts w:hint="eastAsia" w:ascii="Calibri" w:eastAsia="宋体"/>
          <w:sz w:val="28"/>
          <w:szCs w:val="28"/>
        </w:rPr>
      </w:pPr>
      <w:r>
        <w:rPr>
          <w:rFonts w:hint="eastAsia"/>
          <w:sz w:val="28"/>
          <w:szCs w:val="28"/>
        </w:rPr>
        <w:t>8、交货时提</w:t>
      </w:r>
      <w:r>
        <w:rPr>
          <w:rFonts w:hint="eastAsia" w:ascii="Calibri" w:eastAsia="宋体"/>
          <w:sz w:val="28"/>
          <w:szCs w:val="28"/>
        </w:rPr>
        <w:t>供采购品生产企业标准的材质单，检验报告、中标人质量承诺证书。</w:t>
      </w:r>
    </w:p>
    <w:p w14:paraId="64EF200D">
      <w:pPr>
        <w:tabs>
          <w:tab w:val="left" w:pos="1965"/>
        </w:tabs>
        <w:rPr>
          <w:rFonts w:hint="eastAsia" w:ascii="Calibri" w:eastAsia="宋体"/>
          <w:sz w:val="28"/>
          <w:szCs w:val="28"/>
        </w:rPr>
      </w:pPr>
      <w:r>
        <w:rPr>
          <w:rFonts w:hint="eastAsia" w:ascii="Calibri" w:eastAsia="宋体"/>
          <w:sz w:val="28"/>
          <w:szCs w:val="28"/>
        </w:rPr>
        <w:t>9、每批应提供同一牌号、同一规格出厂合格证。</w:t>
      </w:r>
    </w:p>
    <w:p w14:paraId="5E750F31">
      <w:pPr>
        <w:tabs>
          <w:tab w:val="left" w:pos="1965"/>
        </w:tabs>
        <w:rPr>
          <w:rFonts w:hint="eastAsia" w:ascii="Calibri" w:eastAsia="宋体"/>
          <w:sz w:val="28"/>
          <w:szCs w:val="28"/>
        </w:rPr>
      </w:pPr>
      <w:r>
        <w:rPr>
          <w:rFonts w:hint="eastAsia" w:ascii="Calibri" w:eastAsia="宋体"/>
          <w:sz w:val="28"/>
          <w:szCs w:val="28"/>
        </w:rPr>
        <w:t>10、提供符合国家标准,的合格产品。。</w:t>
      </w:r>
    </w:p>
    <w:p w14:paraId="48119EC0">
      <w:pPr>
        <w:tabs>
          <w:tab w:val="left" w:pos="1965"/>
        </w:tabs>
        <w:rPr>
          <w:rFonts w:hint="eastAsia" w:ascii="Calibri" w:eastAsia="宋体"/>
          <w:sz w:val="28"/>
          <w:szCs w:val="28"/>
        </w:rPr>
      </w:pPr>
      <w:r>
        <w:rPr>
          <w:rFonts w:hint="eastAsia" w:ascii="Calibri" w:eastAsia="宋体"/>
          <w:sz w:val="28"/>
          <w:szCs w:val="28"/>
        </w:rPr>
        <w:t>5、报价中要标明</w:t>
      </w:r>
      <w:r>
        <w:rPr>
          <w:rFonts w:hint="eastAsia" w:ascii="Calibri" w:eastAsia="宋体"/>
          <w:sz w:val="28"/>
          <w:szCs w:val="28"/>
          <w:lang w:val="en-US" w:eastAsia="zh-CN"/>
        </w:rPr>
        <w:t>索克曼</w:t>
      </w:r>
      <w:r>
        <w:rPr>
          <w:rFonts w:hint="eastAsia" w:ascii="Calibri" w:eastAsia="宋体"/>
          <w:sz w:val="28"/>
          <w:szCs w:val="28"/>
        </w:rPr>
        <w:t>STS静态转换开关</w:t>
      </w:r>
      <w:r>
        <w:rPr>
          <w:rFonts w:hint="eastAsia" w:ascii="Calibri" w:eastAsia="宋体"/>
          <w:sz w:val="28"/>
          <w:szCs w:val="28"/>
        </w:rPr>
        <w:t>造商和产地。</w:t>
      </w:r>
    </w:p>
    <w:p w14:paraId="402AFAAA">
      <w:pPr>
        <w:tabs>
          <w:tab w:val="left" w:pos="1965"/>
        </w:tabs>
        <w:rPr>
          <w:rFonts w:hint="eastAsia" w:ascii="Calibri" w:eastAsia="宋体"/>
          <w:sz w:val="28"/>
          <w:szCs w:val="28"/>
        </w:rPr>
      </w:pPr>
      <w:r>
        <w:rPr>
          <w:rFonts w:hint="eastAsia" w:ascii="Calibri" w:eastAsia="宋体"/>
          <w:sz w:val="28"/>
          <w:szCs w:val="28"/>
        </w:rPr>
        <w:t>6、交货时提供</w:t>
      </w:r>
      <w:r>
        <w:rPr>
          <w:rFonts w:hint="eastAsia" w:ascii="Calibri" w:eastAsia="宋体"/>
          <w:sz w:val="28"/>
          <w:szCs w:val="28"/>
          <w:lang w:val="en-US" w:eastAsia="zh-CN"/>
        </w:rPr>
        <w:t>索克曼</w:t>
      </w:r>
      <w:r>
        <w:rPr>
          <w:rFonts w:hint="eastAsia" w:ascii="Calibri" w:eastAsia="宋体"/>
          <w:sz w:val="28"/>
          <w:szCs w:val="28"/>
        </w:rPr>
        <w:t>STS静态转换开关</w:t>
      </w:r>
      <w:r>
        <w:rPr>
          <w:rFonts w:hint="eastAsia" w:ascii="Calibri" w:eastAsia="宋体"/>
          <w:sz w:val="28"/>
          <w:szCs w:val="28"/>
        </w:rPr>
        <w:t>制造商完整的质检报告，材质单。</w:t>
      </w:r>
    </w:p>
    <w:p w14:paraId="37B2811C">
      <w:pPr>
        <w:tabs>
          <w:tab w:val="left" w:pos="1965"/>
        </w:tabs>
        <w:rPr>
          <w:rFonts w:hint="eastAsia" w:ascii="Calibri" w:eastAsia="宋体"/>
          <w:sz w:val="28"/>
          <w:szCs w:val="28"/>
        </w:rPr>
      </w:pPr>
      <w:r>
        <w:rPr>
          <w:rFonts w:hint="eastAsia" w:ascii="Calibri" w:eastAsia="宋体"/>
          <w:sz w:val="28"/>
          <w:szCs w:val="28"/>
        </w:rPr>
        <w:t>7、特别要求：交货时要求中标人就招标产品提供产品说明书，材质单，批次证明，同时招标人有权要求中标人对产品的合法供货渠道进行说明，经核实如中标人提供非法渠道的商品，视为欺诈，为维护招标人合法权益，中标人要承担商品价值双倍的赔偿；同时，依据现行的国家法律法规追究其他责任，并连带招标产品生产企业的责任。</w:t>
      </w:r>
    </w:p>
    <w:p w14:paraId="082E4C29">
      <w:pPr>
        <w:tabs>
          <w:tab w:val="left" w:pos="1965"/>
        </w:tabs>
        <w:rPr>
          <w:rFonts w:hint="eastAsia" w:ascii="Calibri" w:eastAsia="宋体"/>
          <w:sz w:val="28"/>
          <w:szCs w:val="28"/>
        </w:rPr>
      </w:pPr>
    </w:p>
    <w:p w14:paraId="00213B35">
      <w:pPr>
        <w:tabs>
          <w:tab w:val="left" w:pos="1965"/>
        </w:tabs>
        <w:rPr>
          <w:rFonts w:hint="eastAsia" w:ascii="Calibri" w:eastAsia="宋体"/>
          <w:sz w:val="28"/>
          <w:szCs w:val="28"/>
        </w:rPr>
      </w:pPr>
      <w:r>
        <w:rPr>
          <w:rFonts w:hint="eastAsia" w:ascii="Calibri" w:eastAsia="宋体"/>
          <w:sz w:val="28"/>
          <w:szCs w:val="28"/>
        </w:rPr>
        <w:t>11、</w:t>
      </w:r>
      <w:r>
        <w:rPr>
          <w:rFonts w:hint="eastAsia" w:ascii="Calibri" w:eastAsia="宋体"/>
          <w:sz w:val="28"/>
          <w:szCs w:val="28"/>
          <w:lang w:val="en-US" w:eastAsia="zh-CN"/>
        </w:rPr>
        <w:t>索克曼</w:t>
      </w:r>
      <w:r>
        <w:rPr>
          <w:rFonts w:hint="eastAsia" w:ascii="Calibri" w:eastAsia="宋体"/>
          <w:sz w:val="28"/>
          <w:szCs w:val="28"/>
        </w:rPr>
        <w:t>STS静态转换开关</w:t>
      </w:r>
      <w:r>
        <w:rPr>
          <w:rFonts w:hint="eastAsia" w:ascii="Calibri" w:eastAsia="宋体"/>
          <w:sz w:val="28"/>
          <w:szCs w:val="28"/>
        </w:rPr>
        <w:t>的资料及时、齐全，内容准确无误。</w:t>
      </w:r>
    </w:p>
    <w:p w14:paraId="54CB030C">
      <w:pPr>
        <w:tabs>
          <w:tab w:val="left" w:pos="1965"/>
        </w:tabs>
        <w:rPr>
          <w:rFonts w:hint="eastAsia" w:ascii="Calibri" w:eastAsia="宋体"/>
          <w:sz w:val="28"/>
          <w:szCs w:val="28"/>
        </w:rPr>
      </w:pPr>
      <w:r>
        <w:rPr>
          <w:rFonts w:hint="eastAsia" w:ascii="Calibri" w:eastAsia="宋体"/>
          <w:sz w:val="28"/>
          <w:szCs w:val="28"/>
        </w:rPr>
        <w:t>12、提供每批</w:t>
      </w:r>
      <w:r>
        <w:rPr>
          <w:rFonts w:hint="eastAsia" w:ascii="Calibri" w:eastAsia="宋体"/>
          <w:sz w:val="28"/>
          <w:szCs w:val="28"/>
          <w:lang w:val="en-US" w:eastAsia="zh-CN"/>
        </w:rPr>
        <w:t>索克曼</w:t>
      </w:r>
      <w:r>
        <w:rPr>
          <w:rFonts w:hint="eastAsia" w:ascii="Calibri" w:eastAsia="宋体"/>
          <w:sz w:val="28"/>
          <w:szCs w:val="28"/>
        </w:rPr>
        <w:t>STS静态转换开关</w:t>
      </w:r>
      <w:r>
        <w:rPr>
          <w:rFonts w:hint="eastAsia" w:ascii="Calibri" w:eastAsia="宋体"/>
          <w:sz w:val="28"/>
          <w:szCs w:val="28"/>
        </w:rPr>
        <w:t>合格证、产品检验报告。</w:t>
      </w:r>
      <w:r>
        <w:rPr>
          <w:rFonts w:hint="eastAsia" w:ascii="Calibri" w:eastAsia="宋体"/>
          <w:sz w:val="28"/>
          <w:szCs w:val="28"/>
        </w:rPr>
        <w:tab/>
      </w:r>
    </w:p>
    <w:p w14:paraId="41844036">
      <w:pPr>
        <w:tabs>
          <w:tab w:val="left" w:pos="1965"/>
        </w:tabs>
        <w:rPr>
          <w:rFonts w:hint="eastAsia" w:ascii="Calibri" w:eastAsia="宋体"/>
          <w:sz w:val="28"/>
          <w:szCs w:val="28"/>
        </w:rPr>
      </w:pPr>
      <w:r>
        <w:rPr>
          <w:rFonts w:hint="eastAsia" w:ascii="Calibri" w:eastAsia="宋体"/>
          <w:sz w:val="28"/>
          <w:szCs w:val="28"/>
        </w:rPr>
        <w:t>13</w:t>
      </w:r>
      <w:r>
        <w:rPr>
          <w:rFonts w:hint="eastAsia" w:ascii="Calibri" w:eastAsia="宋体"/>
          <w:sz w:val="28"/>
          <w:szCs w:val="28"/>
          <w:lang w:eastAsia="zh-CN"/>
        </w:rPr>
        <w:t>、</w:t>
      </w:r>
      <w:r>
        <w:rPr>
          <w:rFonts w:hint="eastAsia" w:ascii="Calibri" w:eastAsia="宋体"/>
          <w:sz w:val="28"/>
          <w:szCs w:val="28"/>
          <w:lang w:val="en-US" w:eastAsia="zh-CN"/>
        </w:rPr>
        <w:t>索克曼</w:t>
      </w:r>
      <w:r>
        <w:rPr>
          <w:rFonts w:hint="eastAsia" w:ascii="Calibri" w:eastAsia="宋体"/>
          <w:sz w:val="28"/>
          <w:szCs w:val="28"/>
        </w:rPr>
        <w:t>STS静态转换开关</w:t>
      </w:r>
      <w:r>
        <w:rPr>
          <w:rFonts w:hint="eastAsia" w:ascii="Calibri" w:eastAsia="宋体"/>
          <w:sz w:val="28"/>
          <w:szCs w:val="28"/>
        </w:rPr>
        <w:t>规格不得出现负偏差。</w:t>
      </w:r>
    </w:p>
    <w:p w14:paraId="307961EF">
      <w:pPr>
        <w:tabs>
          <w:tab w:val="left" w:pos="1965"/>
        </w:tabs>
        <w:rPr>
          <w:rFonts w:hint="eastAsia" w:ascii="Calibri" w:eastAsia="宋体"/>
          <w:sz w:val="28"/>
          <w:szCs w:val="28"/>
        </w:rPr>
      </w:pPr>
      <w:r>
        <w:rPr>
          <w:rFonts w:hint="eastAsia" w:ascii="Calibri" w:eastAsia="宋体"/>
          <w:sz w:val="28"/>
          <w:szCs w:val="28"/>
        </w:rPr>
        <w:t>三、质保期：质保期为到货验收合格后十二个月或货到现场二十四个月，以先到日期为准。</w:t>
      </w:r>
    </w:p>
    <w:p w14:paraId="2847C91B">
      <w:pPr>
        <w:tabs>
          <w:tab w:val="left" w:pos="1965"/>
        </w:tabs>
        <w:rPr>
          <w:rFonts w:hint="eastAsia" w:ascii="Calibri" w:eastAsia="宋体"/>
          <w:sz w:val="28"/>
          <w:szCs w:val="28"/>
        </w:rPr>
      </w:pPr>
      <w:r>
        <w:rPr>
          <w:rFonts w:hint="eastAsia" w:ascii="Calibri" w:eastAsia="宋体"/>
          <w:sz w:val="28"/>
          <w:szCs w:val="28"/>
        </w:rPr>
        <w:t>四、付款：</w:t>
      </w:r>
    </w:p>
    <w:p w14:paraId="7CD88665">
      <w:pPr>
        <w:tabs>
          <w:tab w:val="left" w:pos="1965"/>
        </w:tabs>
        <w:rPr>
          <w:rFonts w:hint="eastAsia" w:ascii="Calibri" w:eastAsia="宋体"/>
          <w:sz w:val="28"/>
          <w:szCs w:val="28"/>
        </w:rPr>
      </w:pPr>
      <w:r>
        <w:rPr>
          <w:rFonts w:hint="eastAsia" w:ascii="Calibri" w:eastAsia="宋体"/>
          <w:sz w:val="28"/>
          <w:szCs w:val="28"/>
        </w:rPr>
        <w:t>1、到货款：</w:t>
      </w:r>
    </w:p>
    <w:p w14:paraId="35914B80">
      <w:pPr>
        <w:tabs>
          <w:tab w:val="left" w:pos="1965"/>
        </w:tabs>
        <w:rPr>
          <w:rFonts w:hint="eastAsia" w:ascii="Calibri" w:eastAsia="宋体"/>
          <w:sz w:val="28"/>
          <w:szCs w:val="28"/>
        </w:rPr>
      </w:pPr>
      <w:r>
        <w:rPr>
          <w:rFonts w:hint="eastAsia" w:ascii="Calibri" w:eastAsia="宋体"/>
          <w:sz w:val="28"/>
          <w:szCs w:val="28"/>
        </w:rPr>
        <w:t>货到验收合格后，卖方提供100%增值税专用发票，买方支付100%货款。卖方收到发货款后7日内提供等额收据。</w:t>
      </w:r>
    </w:p>
    <w:p w14:paraId="73800B6B">
      <w:pPr>
        <w:tabs>
          <w:tab w:val="left" w:pos="1965"/>
        </w:tabs>
        <w:rPr>
          <w:rFonts w:hint="eastAsia"/>
          <w:sz w:val="28"/>
          <w:szCs w:val="28"/>
        </w:rPr>
      </w:pPr>
      <w:r>
        <w:rPr>
          <w:rFonts w:hint="eastAsia"/>
          <w:sz w:val="28"/>
          <w:szCs w:val="28"/>
          <w:lang w:val="en-US" w:eastAsia="zh-CN"/>
        </w:rPr>
        <w:t>2</w:t>
      </w:r>
      <w:r>
        <w:rPr>
          <w:rFonts w:hint="eastAsia"/>
          <w:sz w:val="28"/>
          <w:szCs w:val="28"/>
        </w:rPr>
        <w:t>、付款方式：电汇或汇票。</w:t>
      </w:r>
    </w:p>
    <w:p w14:paraId="27B4C438">
      <w:pPr>
        <w:rPr>
          <w:sz w:val="28"/>
          <w:szCs w:val="28"/>
        </w:rPr>
      </w:pPr>
      <w:r>
        <w:rPr>
          <w:rFonts w:hint="eastAsia"/>
          <w:b/>
          <w:sz w:val="28"/>
          <w:szCs w:val="28"/>
        </w:rPr>
        <w:t>五、交货地点：</w:t>
      </w:r>
      <w:r>
        <w:rPr>
          <w:sz w:val="28"/>
          <w:szCs w:val="28"/>
        </w:rPr>
        <w:t>天津市经济技术开发区南港工业区创新路（东）99号</w:t>
      </w:r>
      <w:r>
        <w:rPr>
          <w:rFonts w:hint="eastAsia"/>
          <w:sz w:val="28"/>
          <w:szCs w:val="28"/>
        </w:rPr>
        <w:t>，天津渤化化工发展有限公司。</w:t>
      </w:r>
    </w:p>
    <w:p w14:paraId="0F4497E2">
      <w:pPr>
        <w:rPr>
          <w:b/>
          <w:sz w:val="28"/>
          <w:szCs w:val="28"/>
        </w:rPr>
      </w:pPr>
      <w:r>
        <w:rPr>
          <w:rFonts w:hint="eastAsia"/>
          <w:b/>
          <w:sz w:val="28"/>
          <w:szCs w:val="28"/>
        </w:rPr>
        <w:t>六、交货方式：</w:t>
      </w:r>
      <w:r>
        <w:rPr>
          <w:rFonts w:hint="eastAsia"/>
          <w:sz w:val="28"/>
          <w:szCs w:val="28"/>
        </w:rPr>
        <w:t>车板交货至项目现场。</w:t>
      </w:r>
    </w:p>
    <w:p w14:paraId="27945CF1">
      <w:pPr>
        <w:rPr>
          <w:b/>
          <w:sz w:val="28"/>
          <w:szCs w:val="28"/>
        </w:rPr>
      </w:pPr>
      <w:r>
        <w:rPr>
          <w:rFonts w:hint="eastAsia"/>
          <w:b/>
          <w:sz w:val="28"/>
          <w:szCs w:val="28"/>
        </w:rPr>
        <w:t>七、报价要求：</w:t>
      </w:r>
    </w:p>
    <w:p w14:paraId="116BA642">
      <w:pPr>
        <w:rPr>
          <w:b/>
          <w:sz w:val="28"/>
          <w:szCs w:val="28"/>
        </w:rPr>
      </w:pPr>
      <w:r>
        <w:rPr>
          <w:rFonts w:hint="eastAsia"/>
          <w:b/>
          <w:sz w:val="28"/>
          <w:szCs w:val="28"/>
        </w:rPr>
        <w:t>1、报价单中须提供投标人营业执照副本复印件及加盖投标人公章的法定代表人证明书和法定代表人身份证明及法定代表人授权书，投标人若为代理商投标还需提供本次所投产品生产商的授权书复印件；</w:t>
      </w:r>
    </w:p>
    <w:p w14:paraId="076503AA">
      <w:pPr>
        <w:rPr>
          <w:sz w:val="28"/>
          <w:szCs w:val="28"/>
        </w:rPr>
      </w:pPr>
      <w:r>
        <w:rPr>
          <w:rFonts w:hint="eastAsia"/>
          <w:sz w:val="28"/>
          <w:szCs w:val="28"/>
        </w:rPr>
        <w:t>2、报价单须对上述一至六项要求进行响应；</w:t>
      </w:r>
    </w:p>
    <w:p w14:paraId="00E7CDC4">
      <w:pPr>
        <w:rPr>
          <w:sz w:val="28"/>
          <w:szCs w:val="28"/>
        </w:rPr>
      </w:pPr>
      <w:r>
        <w:rPr>
          <w:rFonts w:hint="eastAsia"/>
          <w:sz w:val="28"/>
          <w:szCs w:val="28"/>
        </w:rPr>
        <w:t>3、报价单须注明供货周期；</w:t>
      </w:r>
    </w:p>
    <w:p w14:paraId="118B8A96">
      <w:pPr>
        <w:rPr>
          <w:sz w:val="28"/>
          <w:szCs w:val="28"/>
        </w:rPr>
      </w:pPr>
      <w:r>
        <w:rPr>
          <w:rFonts w:hint="eastAsia"/>
          <w:sz w:val="28"/>
          <w:szCs w:val="28"/>
        </w:rPr>
        <w:t>4、须进行分项报价，所有材料设备费、运输装卸费、指导安装、调试、培训费及各项税费均包含在投标报价总价中。</w:t>
      </w:r>
    </w:p>
    <w:p w14:paraId="5AADF640">
      <w:pPr>
        <w:rPr>
          <w:sz w:val="28"/>
          <w:szCs w:val="28"/>
        </w:rPr>
      </w:pPr>
      <w:r>
        <w:rPr>
          <w:rFonts w:hint="eastAsia"/>
          <w:sz w:val="28"/>
          <w:szCs w:val="28"/>
        </w:rPr>
        <w:t>5、采用人民币一次报价，投标报价即为最终价（含税价）。</w:t>
      </w:r>
    </w:p>
    <w:p w14:paraId="04F6BC89">
      <w:pPr>
        <w:rPr>
          <w:sz w:val="28"/>
          <w:szCs w:val="28"/>
        </w:rPr>
      </w:pPr>
      <w:r>
        <w:rPr>
          <w:rFonts w:hint="eastAsia"/>
          <w:sz w:val="28"/>
          <w:szCs w:val="28"/>
        </w:rPr>
        <w:t>6、报价单须加盖投标人公章（含骑缝章），以扫描件形式于202</w:t>
      </w:r>
      <w:r>
        <w:rPr>
          <w:rFonts w:hint="eastAsia"/>
          <w:sz w:val="28"/>
          <w:szCs w:val="28"/>
          <w:lang w:val="en-US" w:eastAsia="zh-CN"/>
        </w:rPr>
        <w:t>4</w:t>
      </w:r>
      <w:r>
        <w:rPr>
          <w:rFonts w:hint="eastAsia"/>
          <w:sz w:val="28"/>
          <w:szCs w:val="28"/>
        </w:rPr>
        <w:t>年</w:t>
      </w:r>
      <w:r>
        <w:rPr>
          <w:rFonts w:hint="eastAsia"/>
          <w:sz w:val="28"/>
          <w:szCs w:val="28"/>
          <w:lang w:val="en-US" w:eastAsia="zh-CN"/>
        </w:rPr>
        <w:t>8</w:t>
      </w:r>
      <w:r>
        <w:rPr>
          <w:rFonts w:hint="eastAsia"/>
          <w:sz w:val="28"/>
          <w:szCs w:val="28"/>
        </w:rPr>
        <w:t>月</w:t>
      </w:r>
      <w:r>
        <w:rPr>
          <w:rFonts w:hint="eastAsia"/>
          <w:sz w:val="28"/>
          <w:szCs w:val="28"/>
          <w:lang w:val="en-US" w:eastAsia="zh-CN"/>
        </w:rPr>
        <w:t>30</w:t>
      </w:r>
      <w:r>
        <w:rPr>
          <w:rFonts w:hint="eastAsia"/>
          <w:sz w:val="28"/>
          <w:szCs w:val="28"/>
        </w:rPr>
        <w:t>日下午16：3</w:t>
      </w:r>
      <w:r>
        <w:rPr>
          <w:sz w:val="28"/>
          <w:szCs w:val="28"/>
        </w:rPr>
        <w:t>0</w:t>
      </w:r>
      <w:r>
        <w:rPr>
          <w:rFonts w:hint="eastAsia"/>
          <w:sz w:val="28"/>
          <w:szCs w:val="28"/>
        </w:rPr>
        <w:t>前发送到采购平台。</w:t>
      </w:r>
    </w:p>
    <w:p w14:paraId="262C10E9">
      <w:pPr>
        <w:rPr>
          <w:sz w:val="28"/>
          <w:szCs w:val="28"/>
        </w:rPr>
      </w:pPr>
      <w:r>
        <w:rPr>
          <w:rFonts w:hint="eastAsia"/>
          <w:sz w:val="28"/>
          <w:szCs w:val="28"/>
        </w:rPr>
        <w:t>7、报价截止时间：202</w:t>
      </w:r>
      <w:r>
        <w:rPr>
          <w:rFonts w:hint="eastAsia"/>
          <w:sz w:val="28"/>
          <w:szCs w:val="28"/>
          <w:lang w:val="en-US" w:eastAsia="zh-CN"/>
        </w:rPr>
        <w:t>4</w:t>
      </w:r>
      <w:r>
        <w:rPr>
          <w:rFonts w:hint="eastAsia"/>
          <w:sz w:val="28"/>
          <w:szCs w:val="28"/>
        </w:rPr>
        <w:t>年</w:t>
      </w:r>
      <w:r>
        <w:rPr>
          <w:rFonts w:hint="eastAsia"/>
          <w:sz w:val="28"/>
          <w:szCs w:val="28"/>
          <w:lang w:val="en-US" w:eastAsia="zh-CN"/>
        </w:rPr>
        <w:t>8</w:t>
      </w:r>
      <w:r>
        <w:rPr>
          <w:rFonts w:hint="eastAsia"/>
          <w:sz w:val="28"/>
          <w:szCs w:val="28"/>
        </w:rPr>
        <w:t>月</w:t>
      </w:r>
      <w:r>
        <w:rPr>
          <w:rFonts w:hint="eastAsia"/>
          <w:sz w:val="28"/>
          <w:szCs w:val="28"/>
          <w:lang w:val="en-US" w:eastAsia="zh-CN"/>
        </w:rPr>
        <w:t>30</w:t>
      </w:r>
      <w:bookmarkStart w:id="0" w:name="_GoBack"/>
      <w:bookmarkEnd w:id="0"/>
      <w:r>
        <w:rPr>
          <w:rFonts w:hint="eastAsia"/>
          <w:sz w:val="28"/>
          <w:szCs w:val="28"/>
        </w:rPr>
        <w:t>日下午16：30，过时无效。</w:t>
      </w:r>
    </w:p>
    <w:sectPr>
      <w:footerReference r:id="rId3" w:type="default"/>
      <w:pgSz w:w="11906" w:h="16838"/>
      <w:pgMar w:top="1418" w:right="1418" w:bottom="1418" w:left="1418"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40D2E2">
    <w:pPr>
      <w:pStyle w:val="5"/>
    </w:pPr>
    <w:r>
      <w:pict>
        <v:shape id="_x0000_s1025" o:spid="_x0000_s1025"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40A2A211">
                <w:pPr>
                  <w:pStyle w:val="5"/>
                </w:pPr>
                <w:r>
                  <w:rPr>
                    <w:rFonts w:hint="eastAsia"/>
                  </w:rPr>
                  <w:t xml:space="preserve">第 </w:t>
                </w:r>
                <w:r>
                  <w:fldChar w:fldCharType="begin"/>
                </w:r>
                <w:r>
                  <w:instrText xml:space="preserve"> PAGE  \* MERGEFORMAT </w:instrText>
                </w:r>
                <w:r>
                  <w:fldChar w:fldCharType="separate"/>
                </w:r>
                <w:r>
                  <w:t>1</w:t>
                </w:r>
                <w:r>
                  <w:fldChar w:fldCharType="end"/>
                </w:r>
                <w:r>
                  <w:rPr>
                    <w:rFonts w:hint="eastAsia"/>
                  </w:rPr>
                  <w:t xml:space="preserve"> 页 共 </w:t>
                </w:r>
                <w:r>
                  <w:fldChar w:fldCharType="begin"/>
                </w:r>
                <w:r>
                  <w:instrText xml:space="preserve"> NUMPAGES  \* MERGEFORMAT </w:instrText>
                </w:r>
                <w:r>
                  <w:fldChar w:fldCharType="separate"/>
                </w:r>
                <w:r>
                  <w:t>4</w:t>
                </w:r>
                <w:r>
                  <w:fldChar w:fldCharType="end"/>
                </w:r>
                <w:r>
                  <w:rPr>
                    <w:rFonts w:hint="eastAsia"/>
                  </w:rPr>
                  <w:t xml:space="preserve"> 页</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GM1NmVjZTQzZTM5ZWI5MmI5ODkzNGI1ZDVhMzM1ZDIifQ=="/>
    <w:docVar w:name="KSO_WPS_MARK_KEY" w:val="d92b2c3a-50fa-4df4-a281-70a48e97ea73"/>
  </w:docVars>
  <w:rsids>
    <w:rsidRoot w:val="006408C5"/>
    <w:rsid w:val="00016DCA"/>
    <w:rsid w:val="00047472"/>
    <w:rsid w:val="0005288E"/>
    <w:rsid w:val="00056820"/>
    <w:rsid w:val="00071DA6"/>
    <w:rsid w:val="00072949"/>
    <w:rsid w:val="00073E3A"/>
    <w:rsid w:val="000826C3"/>
    <w:rsid w:val="00086E6A"/>
    <w:rsid w:val="00090037"/>
    <w:rsid w:val="00092F28"/>
    <w:rsid w:val="000A00DC"/>
    <w:rsid w:val="000A0F1B"/>
    <w:rsid w:val="000A749A"/>
    <w:rsid w:val="000B68A9"/>
    <w:rsid w:val="000C3258"/>
    <w:rsid w:val="000C45A6"/>
    <w:rsid w:val="000E39AB"/>
    <w:rsid w:val="000E6122"/>
    <w:rsid w:val="000E7686"/>
    <w:rsid w:val="000F688D"/>
    <w:rsid w:val="001104A9"/>
    <w:rsid w:val="00117D0A"/>
    <w:rsid w:val="00123A30"/>
    <w:rsid w:val="00124CB5"/>
    <w:rsid w:val="00124E51"/>
    <w:rsid w:val="00131D38"/>
    <w:rsid w:val="00143F7C"/>
    <w:rsid w:val="00145C22"/>
    <w:rsid w:val="00162415"/>
    <w:rsid w:val="0016429A"/>
    <w:rsid w:val="0017402B"/>
    <w:rsid w:val="00175E6A"/>
    <w:rsid w:val="001929D8"/>
    <w:rsid w:val="00192D0E"/>
    <w:rsid w:val="001939EE"/>
    <w:rsid w:val="001B29AA"/>
    <w:rsid w:val="001B49E7"/>
    <w:rsid w:val="001E5F9C"/>
    <w:rsid w:val="001F0CF2"/>
    <w:rsid w:val="001F512A"/>
    <w:rsid w:val="001F659B"/>
    <w:rsid w:val="00216DF1"/>
    <w:rsid w:val="00220186"/>
    <w:rsid w:val="00232983"/>
    <w:rsid w:val="00233FFC"/>
    <w:rsid w:val="002364E5"/>
    <w:rsid w:val="00240469"/>
    <w:rsid w:val="00255099"/>
    <w:rsid w:val="00260C81"/>
    <w:rsid w:val="0027006A"/>
    <w:rsid w:val="002729A8"/>
    <w:rsid w:val="002874E9"/>
    <w:rsid w:val="002A38DF"/>
    <w:rsid w:val="002C09F4"/>
    <w:rsid w:val="002C3140"/>
    <w:rsid w:val="002D61B5"/>
    <w:rsid w:val="002D6E15"/>
    <w:rsid w:val="002F39E9"/>
    <w:rsid w:val="00310114"/>
    <w:rsid w:val="00327398"/>
    <w:rsid w:val="00353424"/>
    <w:rsid w:val="003641E5"/>
    <w:rsid w:val="0036458B"/>
    <w:rsid w:val="0037084A"/>
    <w:rsid w:val="00370C52"/>
    <w:rsid w:val="003778C0"/>
    <w:rsid w:val="0039068D"/>
    <w:rsid w:val="003906E2"/>
    <w:rsid w:val="003A49EB"/>
    <w:rsid w:val="003A6E58"/>
    <w:rsid w:val="003C5ECF"/>
    <w:rsid w:val="003D4590"/>
    <w:rsid w:val="00404ABE"/>
    <w:rsid w:val="004051F2"/>
    <w:rsid w:val="004055B7"/>
    <w:rsid w:val="0040603D"/>
    <w:rsid w:val="0041734C"/>
    <w:rsid w:val="00417380"/>
    <w:rsid w:val="004313D1"/>
    <w:rsid w:val="00433E66"/>
    <w:rsid w:val="00441DFA"/>
    <w:rsid w:val="00451C41"/>
    <w:rsid w:val="00455403"/>
    <w:rsid w:val="00456F24"/>
    <w:rsid w:val="00460FFC"/>
    <w:rsid w:val="004634F2"/>
    <w:rsid w:val="004832A4"/>
    <w:rsid w:val="004A0E3E"/>
    <w:rsid w:val="004A51D5"/>
    <w:rsid w:val="004D256E"/>
    <w:rsid w:val="004D29DE"/>
    <w:rsid w:val="004E42E5"/>
    <w:rsid w:val="004F3A58"/>
    <w:rsid w:val="005235AC"/>
    <w:rsid w:val="00537F64"/>
    <w:rsid w:val="00541B48"/>
    <w:rsid w:val="0056442A"/>
    <w:rsid w:val="0056609C"/>
    <w:rsid w:val="005722F3"/>
    <w:rsid w:val="0059199E"/>
    <w:rsid w:val="00591D82"/>
    <w:rsid w:val="005923E1"/>
    <w:rsid w:val="005A7481"/>
    <w:rsid w:val="005A7A1A"/>
    <w:rsid w:val="005B0FD9"/>
    <w:rsid w:val="005B4DBD"/>
    <w:rsid w:val="005C088A"/>
    <w:rsid w:val="005C119E"/>
    <w:rsid w:val="005D4261"/>
    <w:rsid w:val="005E311A"/>
    <w:rsid w:val="005E6F73"/>
    <w:rsid w:val="00600C37"/>
    <w:rsid w:val="006010B7"/>
    <w:rsid w:val="00606A90"/>
    <w:rsid w:val="006154ED"/>
    <w:rsid w:val="00623087"/>
    <w:rsid w:val="00625959"/>
    <w:rsid w:val="0064077C"/>
    <w:rsid w:val="006408C5"/>
    <w:rsid w:val="006465A6"/>
    <w:rsid w:val="00660D0E"/>
    <w:rsid w:val="0066480C"/>
    <w:rsid w:val="006826D9"/>
    <w:rsid w:val="0069654C"/>
    <w:rsid w:val="006A33D2"/>
    <w:rsid w:val="006E158F"/>
    <w:rsid w:val="006E6678"/>
    <w:rsid w:val="006F3510"/>
    <w:rsid w:val="006F427E"/>
    <w:rsid w:val="00704DFD"/>
    <w:rsid w:val="00707438"/>
    <w:rsid w:val="00713C3D"/>
    <w:rsid w:val="0074483F"/>
    <w:rsid w:val="00756FDE"/>
    <w:rsid w:val="0076018F"/>
    <w:rsid w:val="00762D31"/>
    <w:rsid w:val="00774520"/>
    <w:rsid w:val="00791771"/>
    <w:rsid w:val="00792E39"/>
    <w:rsid w:val="00793A52"/>
    <w:rsid w:val="007945A6"/>
    <w:rsid w:val="007A2858"/>
    <w:rsid w:val="007A294F"/>
    <w:rsid w:val="007A4169"/>
    <w:rsid w:val="007A681F"/>
    <w:rsid w:val="007D0058"/>
    <w:rsid w:val="007D1C8E"/>
    <w:rsid w:val="007F08EB"/>
    <w:rsid w:val="007F4978"/>
    <w:rsid w:val="008013B6"/>
    <w:rsid w:val="00817F9D"/>
    <w:rsid w:val="00827A15"/>
    <w:rsid w:val="0083060C"/>
    <w:rsid w:val="00857F37"/>
    <w:rsid w:val="00860616"/>
    <w:rsid w:val="00862884"/>
    <w:rsid w:val="00873E4A"/>
    <w:rsid w:val="00877A8C"/>
    <w:rsid w:val="00880F06"/>
    <w:rsid w:val="00883E3B"/>
    <w:rsid w:val="00896AAD"/>
    <w:rsid w:val="008E2805"/>
    <w:rsid w:val="008E66D4"/>
    <w:rsid w:val="008E75AF"/>
    <w:rsid w:val="008F01B3"/>
    <w:rsid w:val="008F1594"/>
    <w:rsid w:val="00900F80"/>
    <w:rsid w:val="00915B05"/>
    <w:rsid w:val="00920809"/>
    <w:rsid w:val="0092573B"/>
    <w:rsid w:val="009546F1"/>
    <w:rsid w:val="00960DFC"/>
    <w:rsid w:val="00975298"/>
    <w:rsid w:val="0097583F"/>
    <w:rsid w:val="00986EE8"/>
    <w:rsid w:val="00991E82"/>
    <w:rsid w:val="0099477D"/>
    <w:rsid w:val="009A4AA6"/>
    <w:rsid w:val="009C6D1A"/>
    <w:rsid w:val="009D75DD"/>
    <w:rsid w:val="009E4B2D"/>
    <w:rsid w:val="009E609E"/>
    <w:rsid w:val="009F02AD"/>
    <w:rsid w:val="009F6EE5"/>
    <w:rsid w:val="00A105F7"/>
    <w:rsid w:val="00A12E3B"/>
    <w:rsid w:val="00A1332C"/>
    <w:rsid w:val="00A13D2A"/>
    <w:rsid w:val="00A229CA"/>
    <w:rsid w:val="00A234DF"/>
    <w:rsid w:val="00A2685D"/>
    <w:rsid w:val="00A4493E"/>
    <w:rsid w:val="00A518A5"/>
    <w:rsid w:val="00A54604"/>
    <w:rsid w:val="00A87A81"/>
    <w:rsid w:val="00A917D1"/>
    <w:rsid w:val="00A93440"/>
    <w:rsid w:val="00A96F76"/>
    <w:rsid w:val="00AC4D82"/>
    <w:rsid w:val="00AD340D"/>
    <w:rsid w:val="00AE331A"/>
    <w:rsid w:val="00AE581B"/>
    <w:rsid w:val="00B01A59"/>
    <w:rsid w:val="00B24781"/>
    <w:rsid w:val="00B4764C"/>
    <w:rsid w:val="00B60177"/>
    <w:rsid w:val="00B62287"/>
    <w:rsid w:val="00B64281"/>
    <w:rsid w:val="00B7142A"/>
    <w:rsid w:val="00B835D1"/>
    <w:rsid w:val="00B84E68"/>
    <w:rsid w:val="00B930EF"/>
    <w:rsid w:val="00B954B8"/>
    <w:rsid w:val="00BA4518"/>
    <w:rsid w:val="00BB790B"/>
    <w:rsid w:val="00BC1CFE"/>
    <w:rsid w:val="00BC46CE"/>
    <w:rsid w:val="00C03F17"/>
    <w:rsid w:val="00C77FF8"/>
    <w:rsid w:val="00CB3E39"/>
    <w:rsid w:val="00CB66B3"/>
    <w:rsid w:val="00CC102E"/>
    <w:rsid w:val="00CD060F"/>
    <w:rsid w:val="00CD5587"/>
    <w:rsid w:val="00CD6CA3"/>
    <w:rsid w:val="00CE49DF"/>
    <w:rsid w:val="00CE5758"/>
    <w:rsid w:val="00D0768B"/>
    <w:rsid w:val="00D12738"/>
    <w:rsid w:val="00D1560C"/>
    <w:rsid w:val="00D16C53"/>
    <w:rsid w:val="00D24A7D"/>
    <w:rsid w:val="00D61834"/>
    <w:rsid w:val="00D823DA"/>
    <w:rsid w:val="00D90A67"/>
    <w:rsid w:val="00DB23EC"/>
    <w:rsid w:val="00DD1CC7"/>
    <w:rsid w:val="00DF7EB8"/>
    <w:rsid w:val="00E03B36"/>
    <w:rsid w:val="00E044B6"/>
    <w:rsid w:val="00E21EC3"/>
    <w:rsid w:val="00E321F0"/>
    <w:rsid w:val="00E36071"/>
    <w:rsid w:val="00E477EB"/>
    <w:rsid w:val="00E64374"/>
    <w:rsid w:val="00E65BDA"/>
    <w:rsid w:val="00E724A1"/>
    <w:rsid w:val="00E76627"/>
    <w:rsid w:val="00E95CBE"/>
    <w:rsid w:val="00EA2147"/>
    <w:rsid w:val="00EA4B78"/>
    <w:rsid w:val="00EA6B69"/>
    <w:rsid w:val="00EB4578"/>
    <w:rsid w:val="00EB4CB7"/>
    <w:rsid w:val="00EC777F"/>
    <w:rsid w:val="00ED4A7C"/>
    <w:rsid w:val="00ED507B"/>
    <w:rsid w:val="00EE4A8C"/>
    <w:rsid w:val="00EE5EEA"/>
    <w:rsid w:val="00EE6F1A"/>
    <w:rsid w:val="00EE77C0"/>
    <w:rsid w:val="00EF5314"/>
    <w:rsid w:val="00EF7569"/>
    <w:rsid w:val="00F069A0"/>
    <w:rsid w:val="00F225B0"/>
    <w:rsid w:val="00F55AA4"/>
    <w:rsid w:val="00F608E9"/>
    <w:rsid w:val="00F6565C"/>
    <w:rsid w:val="00F70434"/>
    <w:rsid w:val="00F72167"/>
    <w:rsid w:val="00F920C2"/>
    <w:rsid w:val="00F945C7"/>
    <w:rsid w:val="00F963CE"/>
    <w:rsid w:val="00FB4AF7"/>
    <w:rsid w:val="00FB7555"/>
    <w:rsid w:val="00FC2C4A"/>
    <w:rsid w:val="00FC6D2A"/>
    <w:rsid w:val="00FD63AE"/>
    <w:rsid w:val="00FE1177"/>
    <w:rsid w:val="00FE54E3"/>
    <w:rsid w:val="00FE78D1"/>
    <w:rsid w:val="00FF5029"/>
    <w:rsid w:val="013E15B0"/>
    <w:rsid w:val="01AC3A93"/>
    <w:rsid w:val="01F07B14"/>
    <w:rsid w:val="03115A13"/>
    <w:rsid w:val="03355846"/>
    <w:rsid w:val="03F97677"/>
    <w:rsid w:val="06675B3E"/>
    <w:rsid w:val="06814142"/>
    <w:rsid w:val="06860430"/>
    <w:rsid w:val="06B565C1"/>
    <w:rsid w:val="070954E4"/>
    <w:rsid w:val="090D63E3"/>
    <w:rsid w:val="09842C00"/>
    <w:rsid w:val="0A430580"/>
    <w:rsid w:val="0AEC0B9C"/>
    <w:rsid w:val="0B147837"/>
    <w:rsid w:val="0B616F17"/>
    <w:rsid w:val="0BFE3464"/>
    <w:rsid w:val="0C660DC9"/>
    <w:rsid w:val="0CB42FE4"/>
    <w:rsid w:val="0DA876FD"/>
    <w:rsid w:val="0DC71F45"/>
    <w:rsid w:val="0E5B5163"/>
    <w:rsid w:val="0E7155B6"/>
    <w:rsid w:val="0EAE3F52"/>
    <w:rsid w:val="109E0A4B"/>
    <w:rsid w:val="10D66437"/>
    <w:rsid w:val="111451B1"/>
    <w:rsid w:val="113B67AA"/>
    <w:rsid w:val="135453CB"/>
    <w:rsid w:val="13AE71F7"/>
    <w:rsid w:val="143516C6"/>
    <w:rsid w:val="148B7889"/>
    <w:rsid w:val="1493143F"/>
    <w:rsid w:val="14D403CE"/>
    <w:rsid w:val="15017EEB"/>
    <w:rsid w:val="151F4331"/>
    <w:rsid w:val="15C00D90"/>
    <w:rsid w:val="165F2159"/>
    <w:rsid w:val="17036AE7"/>
    <w:rsid w:val="17084E70"/>
    <w:rsid w:val="176730AA"/>
    <w:rsid w:val="17851DDF"/>
    <w:rsid w:val="17F244DE"/>
    <w:rsid w:val="17F3381B"/>
    <w:rsid w:val="196F7429"/>
    <w:rsid w:val="199B6470"/>
    <w:rsid w:val="19A3771A"/>
    <w:rsid w:val="19A51FEF"/>
    <w:rsid w:val="1A3D12D5"/>
    <w:rsid w:val="1A941EAD"/>
    <w:rsid w:val="1AAB380D"/>
    <w:rsid w:val="1AF07232"/>
    <w:rsid w:val="1C292F96"/>
    <w:rsid w:val="1C8E7BC6"/>
    <w:rsid w:val="1D09624E"/>
    <w:rsid w:val="1D3C2385"/>
    <w:rsid w:val="1D57445C"/>
    <w:rsid w:val="1E364546"/>
    <w:rsid w:val="1EB05D0C"/>
    <w:rsid w:val="1F775B1B"/>
    <w:rsid w:val="1F7D0289"/>
    <w:rsid w:val="1F8452B0"/>
    <w:rsid w:val="1F952390"/>
    <w:rsid w:val="1FEF60E8"/>
    <w:rsid w:val="20052895"/>
    <w:rsid w:val="20210D51"/>
    <w:rsid w:val="22BC1CE7"/>
    <w:rsid w:val="24A749C8"/>
    <w:rsid w:val="24F627AC"/>
    <w:rsid w:val="250975BA"/>
    <w:rsid w:val="25915A3E"/>
    <w:rsid w:val="25A64CE8"/>
    <w:rsid w:val="25BD151C"/>
    <w:rsid w:val="25FD7585"/>
    <w:rsid w:val="267A4928"/>
    <w:rsid w:val="27026921"/>
    <w:rsid w:val="27076E80"/>
    <w:rsid w:val="273266F6"/>
    <w:rsid w:val="27B21517"/>
    <w:rsid w:val="29BA434E"/>
    <w:rsid w:val="2A0813AC"/>
    <w:rsid w:val="2AD0584D"/>
    <w:rsid w:val="2BB509BB"/>
    <w:rsid w:val="2C6F33F3"/>
    <w:rsid w:val="2D1B43E9"/>
    <w:rsid w:val="2D6E281A"/>
    <w:rsid w:val="2E133B69"/>
    <w:rsid w:val="2F924109"/>
    <w:rsid w:val="30900C54"/>
    <w:rsid w:val="30C776F3"/>
    <w:rsid w:val="31412FE0"/>
    <w:rsid w:val="32653DBC"/>
    <w:rsid w:val="33A62F9D"/>
    <w:rsid w:val="34565015"/>
    <w:rsid w:val="34E85841"/>
    <w:rsid w:val="35025E64"/>
    <w:rsid w:val="35255A13"/>
    <w:rsid w:val="35A973C7"/>
    <w:rsid w:val="35E979AB"/>
    <w:rsid w:val="36B85B13"/>
    <w:rsid w:val="37A147F9"/>
    <w:rsid w:val="39117F66"/>
    <w:rsid w:val="397B2D62"/>
    <w:rsid w:val="399F2FBB"/>
    <w:rsid w:val="39D23390"/>
    <w:rsid w:val="3A026DF6"/>
    <w:rsid w:val="3A685AA2"/>
    <w:rsid w:val="3B273268"/>
    <w:rsid w:val="3B7E3635"/>
    <w:rsid w:val="3B993732"/>
    <w:rsid w:val="3BF21AC7"/>
    <w:rsid w:val="3BFE53CF"/>
    <w:rsid w:val="3C5E7983"/>
    <w:rsid w:val="3C614749"/>
    <w:rsid w:val="3D05638D"/>
    <w:rsid w:val="3E0B7BFE"/>
    <w:rsid w:val="3E276573"/>
    <w:rsid w:val="3FF102E8"/>
    <w:rsid w:val="40B1592B"/>
    <w:rsid w:val="40F57964"/>
    <w:rsid w:val="41003677"/>
    <w:rsid w:val="41980DAA"/>
    <w:rsid w:val="426E3E72"/>
    <w:rsid w:val="428E0070"/>
    <w:rsid w:val="43572E53"/>
    <w:rsid w:val="447D58DA"/>
    <w:rsid w:val="44F815EB"/>
    <w:rsid w:val="454B2248"/>
    <w:rsid w:val="45781E2A"/>
    <w:rsid w:val="4653633B"/>
    <w:rsid w:val="470E1780"/>
    <w:rsid w:val="476A5FE8"/>
    <w:rsid w:val="4775144F"/>
    <w:rsid w:val="47CF53B3"/>
    <w:rsid w:val="47E71989"/>
    <w:rsid w:val="485B09F4"/>
    <w:rsid w:val="48BA60BF"/>
    <w:rsid w:val="49B87E07"/>
    <w:rsid w:val="4AD942B6"/>
    <w:rsid w:val="4B273E32"/>
    <w:rsid w:val="4BED524F"/>
    <w:rsid w:val="4D2E2B7B"/>
    <w:rsid w:val="4D770A03"/>
    <w:rsid w:val="4D87403A"/>
    <w:rsid w:val="4E2A4C93"/>
    <w:rsid w:val="4E3715BC"/>
    <w:rsid w:val="4E7C16C5"/>
    <w:rsid w:val="4F0B5367"/>
    <w:rsid w:val="4F246C1D"/>
    <w:rsid w:val="4F5E6662"/>
    <w:rsid w:val="4F6D1DC8"/>
    <w:rsid w:val="4F9858DE"/>
    <w:rsid w:val="4FA870DB"/>
    <w:rsid w:val="4FC275AB"/>
    <w:rsid w:val="50445419"/>
    <w:rsid w:val="50461F8A"/>
    <w:rsid w:val="504F56C6"/>
    <w:rsid w:val="50610B72"/>
    <w:rsid w:val="50776D5E"/>
    <w:rsid w:val="50D23557"/>
    <w:rsid w:val="51477D68"/>
    <w:rsid w:val="51BB2504"/>
    <w:rsid w:val="525C14C9"/>
    <w:rsid w:val="527B5516"/>
    <w:rsid w:val="53037A06"/>
    <w:rsid w:val="532E7431"/>
    <w:rsid w:val="53403205"/>
    <w:rsid w:val="534466E0"/>
    <w:rsid w:val="538452A3"/>
    <w:rsid w:val="54774A83"/>
    <w:rsid w:val="557A42C3"/>
    <w:rsid w:val="559100B5"/>
    <w:rsid w:val="55935C72"/>
    <w:rsid w:val="55BA777C"/>
    <w:rsid w:val="562543F0"/>
    <w:rsid w:val="566E223B"/>
    <w:rsid w:val="56D42A2D"/>
    <w:rsid w:val="56DE095E"/>
    <w:rsid w:val="56F95BF2"/>
    <w:rsid w:val="57524CE8"/>
    <w:rsid w:val="57686597"/>
    <w:rsid w:val="57CA524F"/>
    <w:rsid w:val="57FA2A79"/>
    <w:rsid w:val="58676A88"/>
    <w:rsid w:val="58FA7DB6"/>
    <w:rsid w:val="597700E9"/>
    <w:rsid w:val="5AE82681"/>
    <w:rsid w:val="5C506F93"/>
    <w:rsid w:val="5D261179"/>
    <w:rsid w:val="5D6A385F"/>
    <w:rsid w:val="5D76416B"/>
    <w:rsid w:val="5D8F2A8D"/>
    <w:rsid w:val="5EA2623B"/>
    <w:rsid w:val="5EBE584A"/>
    <w:rsid w:val="5FD808F8"/>
    <w:rsid w:val="600E45D7"/>
    <w:rsid w:val="606770E1"/>
    <w:rsid w:val="60745D32"/>
    <w:rsid w:val="6079738F"/>
    <w:rsid w:val="60BA0303"/>
    <w:rsid w:val="60EA65D8"/>
    <w:rsid w:val="60F85ED3"/>
    <w:rsid w:val="61273712"/>
    <w:rsid w:val="612E4AA0"/>
    <w:rsid w:val="617B1BD6"/>
    <w:rsid w:val="619C2BCC"/>
    <w:rsid w:val="62775959"/>
    <w:rsid w:val="6356211B"/>
    <w:rsid w:val="63C02D0C"/>
    <w:rsid w:val="658C0243"/>
    <w:rsid w:val="659E5221"/>
    <w:rsid w:val="66660EC0"/>
    <w:rsid w:val="66796DE5"/>
    <w:rsid w:val="66B11C64"/>
    <w:rsid w:val="66EF03AC"/>
    <w:rsid w:val="66FF3741"/>
    <w:rsid w:val="67010561"/>
    <w:rsid w:val="67A86268"/>
    <w:rsid w:val="688C5A28"/>
    <w:rsid w:val="6A12396F"/>
    <w:rsid w:val="6A7546AA"/>
    <w:rsid w:val="6B7C26DB"/>
    <w:rsid w:val="6BC56920"/>
    <w:rsid w:val="6C60551E"/>
    <w:rsid w:val="6CA32EDB"/>
    <w:rsid w:val="6CA719C3"/>
    <w:rsid w:val="6CDA788A"/>
    <w:rsid w:val="6D452647"/>
    <w:rsid w:val="6D8E2E1F"/>
    <w:rsid w:val="6DBC15D0"/>
    <w:rsid w:val="6EDA1686"/>
    <w:rsid w:val="6F0C0C5E"/>
    <w:rsid w:val="6F4B471D"/>
    <w:rsid w:val="6F9A1365"/>
    <w:rsid w:val="70315A48"/>
    <w:rsid w:val="703E0CA0"/>
    <w:rsid w:val="723A3FD4"/>
    <w:rsid w:val="72A15C9E"/>
    <w:rsid w:val="72C466A9"/>
    <w:rsid w:val="73486FE9"/>
    <w:rsid w:val="738530C6"/>
    <w:rsid w:val="74F02341"/>
    <w:rsid w:val="75365A5E"/>
    <w:rsid w:val="75E3733A"/>
    <w:rsid w:val="7627007E"/>
    <w:rsid w:val="763444AF"/>
    <w:rsid w:val="76835EFD"/>
    <w:rsid w:val="773B361B"/>
    <w:rsid w:val="77535DFC"/>
    <w:rsid w:val="77E76730"/>
    <w:rsid w:val="78B450EA"/>
    <w:rsid w:val="78D25079"/>
    <w:rsid w:val="791B54B2"/>
    <w:rsid w:val="79306EF2"/>
    <w:rsid w:val="7A0318FA"/>
    <w:rsid w:val="7AD90E02"/>
    <w:rsid w:val="7D0A5F6A"/>
    <w:rsid w:val="7EA36676"/>
    <w:rsid w:val="7FC06DB4"/>
    <w:rsid w:val="7FD70BBC"/>
    <w:rsid w:val="7FEA5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99"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4"/>
    <w:basedOn w:val="1"/>
    <w:next w:val="1"/>
    <w:link w:val="34"/>
    <w:qFormat/>
    <w:uiPriority w:val="9"/>
    <w:pPr>
      <w:widowControl/>
      <w:spacing w:before="100" w:beforeAutospacing="1" w:after="100" w:afterAutospacing="1"/>
      <w:jc w:val="left"/>
      <w:outlineLvl w:val="3"/>
    </w:pPr>
    <w:rPr>
      <w:rFonts w:ascii="宋体" w:hAnsi="宋体" w:cs="宋体"/>
      <w:b/>
      <w:bCs/>
      <w:kern w:val="0"/>
      <w:sz w:val="24"/>
      <w:szCs w:val="2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四级标题"/>
    <w:basedOn w:val="3"/>
    <w:qFormat/>
    <w:uiPriority w:val="0"/>
    <w:pPr>
      <w:spacing w:line="360" w:lineRule="auto"/>
      <w:ind w:left="0" w:leftChars="0"/>
    </w:pPr>
    <w:rPr>
      <w:rFonts w:eastAsia="黑体"/>
      <w:sz w:val="20"/>
    </w:rPr>
  </w:style>
  <w:style w:type="paragraph" w:styleId="3">
    <w:name w:val="Date"/>
    <w:basedOn w:val="1"/>
    <w:next w:val="1"/>
    <w:qFormat/>
    <w:uiPriority w:val="0"/>
    <w:pPr>
      <w:ind w:left="100" w:leftChars="2500"/>
    </w:pPr>
    <w:rPr>
      <w:rFonts w:ascii="宋体"/>
      <w:color w:val="000000"/>
      <w:szCs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unhideWhenUsed/>
    <w:qFormat/>
    <w:uiPriority w:val="99"/>
    <w:rPr>
      <w:color w:val="0563C1"/>
      <w:u w:val="single"/>
    </w:rPr>
  </w:style>
  <w:style w:type="character" w:customStyle="1" w:styleId="11">
    <w:name w:val="font01"/>
    <w:qFormat/>
    <w:uiPriority w:val="0"/>
    <w:rPr>
      <w:rFonts w:hint="eastAsia" w:ascii="宋体" w:hAnsi="宋体" w:eastAsia="宋体" w:cs="宋体"/>
      <w:color w:val="008000"/>
      <w:sz w:val="22"/>
      <w:szCs w:val="22"/>
      <w:u w:val="none"/>
    </w:rPr>
  </w:style>
  <w:style w:type="character" w:customStyle="1" w:styleId="12">
    <w:name w:val="访问过的超链接1"/>
    <w:unhideWhenUsed/>
    <w:qFormat/>
    <w:uiPriority w:val="99"/>
    <w:rPr>
      <w:color w:val="800080"/>
      <w:u w:val="single"/>
    </w:rPr>
  </w:style>
  <w:style w:type="paragraph" w:customStyle="1" w:styleId="13">
    <w:name w:val="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4">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15">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16">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7">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8">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1">
    <w:name w:val="xl7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2">
    <w:name w:val="xl7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3">
    <w:name w:val="xl7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黑体" w:hAnsi="黑体" w:eastAsia="黑体" w:cs="宋体"/>
      <w:kern w:val="0"/>
      <w:sz w:val="24"/>
      <w:szCs w:val="24"/>
    </w:rPr>
  </w:style>
  <w:style w:type="paragraph" w:customStyle="1" w:styleId="24">
    <w:name w:val="xl78"/>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黑体" w:hAnsi="黑体" w:eastAsia="黑体" w:cs="宋体"/>
      <w:kern w:val="0"/>
      <w:sz w:val="24"/>
      <w:szCs w:val="24"/>
    </w:rPr>
  </w:style>
  <w:style w:type="paragraph" w:customStyle="1" w:styleId="25">
    <w:name w:val="xl7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黑体" w:hAnsi="黑体" w:eastAsia="黑体" w:cs="宋体"/>
      <w:kern w:val="0"/>
      <w:sz w:val="24"/>
      <w:szCs w:val="24"/>
    </w:rPr>
  </w:style>
  <w:style w:type="paragraph" w:customStyle="1" w:styleId="26">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黑体" w:hAnsi="黑体" w:eastAsia="黑体" w:cs="宋体"/>
      <w:kern w:val="0"/>
      <w:sz w:val="24"/>
      <w:szCs w:val="24"/>
    </w:rPr>
  </w:style>
  <w:style w:type="paragraph" w:customStyle="1" w:styleId="27">
    <w:name w:val="xl81"/>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8">
    <w:name w:val="xl8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9">
    <w:name w:val="xl8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0">
    <w:name w:val="xl84"/>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1">
    <w:name w:val="xl8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2">
    <w:name w:val="xl86"/>
    <w:basedOn w:val="1"/>
    <w:qFormat/>
    <w:uiPriority w:val="0"/>
    <w:pPr>
      <w:widowControl/>
      <w:spacing w:before="100" w:beforeAutospacing="1" w:after="100" w:afterAutospacing="1"/>
      <w:jc w:val="center"/>
      <w:textAlignment w:val="center"/>
    </w:pPr>
    <w:rPr>
      <w:rFonts w:ascii="宋体" w:hAnsi="宋体" w:cs="宋体"/>
      <w:kern w:val="0"/>
      <w:sz w:val="24"/>
      <w:szCs w:val="24"/>
    </w:rPr>
  </w:style>
  <w:style w:type="paragraph" w:customStyle="1" w:styleId="33">
    <w:name w:val="xl87"/>
    <w:basedOn w:val="1"/>
    <w:qFormat/>
    <w:uiPriority w:val="0"/>
    <w:pPr>
      <w:widowControl/>
      <w:spacing w:before="100" w:beforeAutospacing="1" w:after="100" w:afterAutospacing="1"/>
      <w:jc w:val="center"/>
      <w:textAlignment w:val="center"/>
    </w:pPr>
    <w:rPr>
      <w:rFonts w:ascii="宋体" w:hAnsi="宋体" w:cs="宋体"/>
      <w:kern w:val="0"/>
      <w:sz w:val="24"/>
      <w:szCs w:val="24"/>
    </w:rPr>
  </w:style>
  <w:style w:type="character" w:customStyle="1" w:styleId="34">
    <w:name w:val="标题 4 字符"/>
    <w:link w:val="4"/>
    <w:qFormat/>
    <w:uiPriority w:val="9"/>
    <w:rPr>
      <w:rFonts w:ascii="宋体" w:hAnsi="宋体" w:cs="宋体"/>
      <w:b/>
      <w:bCs/>
      <w:sz w:val="24"/>
      <w:szCs w:val="24"/>
    </w:rPr>
  </w:style>
  <w:style w:type="paragraph" w:customStyle="1" w:styleId="35">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6">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7">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8">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39">
    <w:name w:val="xl6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4"/>
      <w:szCs w:val="24"/>
    </w:rPr>
  </w:style>
  <w:style w:type="character" w:customStyle="1" w:styleId="40">
    <w:name w:val="font11"/>
    <w:basedOn w:val="9"/>
    <w:qFormat/>
    <w:uiPriority w:val="0"/>
    <w:rPr>
      <w:rFonts w:hint="eastAsia" w:ascii="宋体" w:hAnsi="宋体" w:eastAsia="宋体" w:cs="宋体"/>
      <w:color w:val="000000"/>
      <w:sz w:val="22"/>
      <w:szCs w:val="22"/>
      <w:u w:val="none"/>
    </w:rPr>
  </w:style>
  <w:style w:type="character" w:customStyle="1" w:styleId="41">
    <w:name w:val="font51"/>
    <w:basedOn w:val="9"/>
    <w:qFormat/>
    <w:uiPriority w:val="0"/>
    <w:rPr>
      <w:rFonts w:ascii="Calibri" w:hAnsi="Calibri" w:cs="Calibri"/>
      <w:color w:val="000000"/>
      <w:sz w:val="22"/>
      <w:szCs w:val="22"/>
      <w:u w:val="none"/>
    </w:rPr>
  </w:style>
  <w:style w:type="character" w:customStyle="1" w:styleId="42">
    <w:name w:val="font61"/>
    <w:basedOn w:val="9"/>
    <w:qFormat/>
    <w:uiPriority w:val="0"/>
    <w:rPr>
      <w:rFonts w:hint="default" w:ascii="Calibri" w:hAnsi="Calibri" w:cs="Calibri"/>
      <w:color w:val="000000"/>
      <w:sz w:val="21"/>
      <w:szCs w:val="21"/>
      <w:u w:val="none"/>
    </w:rPr>
  </w:style>
  <w:style w:type="character" w:customStyle="1" w:styleId="43">
    <w:name w:val="font91"/>
    <w:basedOn w:val="9"/>
    <w:qFormat/>
    <w:uiPriority w:val="0"/>
    <w:rPr>
      <w:rFonts w:hint="default" w:ascii="Calibri" w:hAnsi="Calibri" w:cs="Calibri"/>
      <w:color w:val="000000"/>
      <w:sz w:val="21"/>
      <w:szCs w:val="21"/>
      <w:u w:val="none"/>
    </w:rPr>
  </w:style>
  <w:style w:type="character" w:customStyle="1" w:styleId="44">
    <w:name w:val="font21"/>
    <w:basedOn w:val="9"/>
    <w:qFormat/>
    <w:uiPriority w:val="0"/>
    <w:rPr>
      <w:rFonts w:hint="eastAsia" w:ascii="宋体" w:hAnsi="宋体" w:eastAsia="宋体" w:cs="宋体"/>
      <w:color w:val="000000"/>
      <w:sz w:val="22"/>
      <w:szCs w:val="22"/>
      <w:u w:val="none"/>
      <w:vertAlign w:val="superscript"/>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1254</Words>
  <Characters>1331</Characters>
  <Lines>18</Lines>
  <Paragraphs>5</Paragraphs>
  <TotalTime>1</TotalTime>
  <ScaleCrop>false</ScaleCrop>
  <LinksUpToDate>false</LinksUpToDate>
  <CharactersWithSpaces>1337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2021-08-30T01:58:00Z</dcterms:created>
  <dc:creator>thinkpad</dc:creator>
  <cp:lastModifiedBy>李强</cp:lastModifiedBy>
  <dcterms:modified xsi:type="dcterms:W3CDTF">2024-08-23T04:56:54Z</dcterms:modified>
  <cp:revision>131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E17C5EB6A46D4905A800AD64FD99B51E</vt:lpwstr>
  </property>
</Properties>
</file>